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3D1" w:rsidRDefault="00BF53D1" w:rsidP="00BF53D1">
      <w:pPr>
        <w:spacing w:line="480" w:lineRule="auto"/>
        <w:jc w:val="center"/>
        <w:rPr>
          <w:b/>
        </w:rPr>
      </w:pPr>
    </w:p>
    <w:p w:rsidR="00BF53D1" w:rsidRDefault="00BF53D1" w:rsidP="00BF53D1">
      <w:pPr>
        <w:spacing w:line="480" w:lineRule="auto"/>
        <w:jc w:val="center"/>
        <w:rPr>
          <w:b/>
        </w:rPr>
      </w:pPr>
    </w:p>
    <w:p w:rsidR="00BF53D1" w:rsidRDefault="00BF53D1" w:rsidP="00BF53D1">
      <w:pPr>
        <w:spacing w:line="480" w:lineRule="auto"/>
        <w:jc w:val="center"/>
        <w:rPr>
          <w:b/>
        </w:rPr>
      </w:pPr>
    </w:p>
    <w:p w:rsidR="00BF53D1" w:rsidRPr="00BF53D1" w:rsidRDefault="00BF53D1" w:rsidP="00BF53D1">
      <w:pPr>
        <w:spacing w:line="480" w:lineRule="auto"/>
        <w:jc w:val="center"/>
        <w:rPr>
          <w:b/>
        </w:rPr>
      </w:pPr>
      <w:r w:rsidRPr="00BF53D1">
        <w:rPr>
          <w:b/>
        </w:rPr>
        <w:t>Nursing Paper: Colon Cancer</w:t>
      </w:r>
    </w:p>
    <w:p w:rsidR="00BF53D1" w:rsidRDefault="00BF53D1" w:rsidP="00BF53D1">
      <w:pPr>
        <w:spacing w:line="480" w:lineRule="auto"/>
        <w:jc w:val="center"/>
      </w:pPr>
    </w:p>
    <w:p w:rsidR="00BF53D1" w:rsidRDefault="00BF53D1" w:rsidP="00BF53D1">
      <w:pPr>
        <w:spacing w:line="480" w:lineRule="auto"/>
        <w:jc w:val="center"/>
      </w:pPr>
    </w:p>
    <w:p w:rsidR="00BF53D1" w:rsidRDefault="00BF53D1" w:rsidP="00BF53D1">
      <w:pPr>
        <w:spacing w:line="480" w:lineRule="auto"/>
      </w:pPr>
    </w:p>
    <w:p w:rsidR="00BF53D1" w:rsidRPr="00BF53D1" w:rsidRDefault="00BF53D1" w:rsidP="00BF53D1">
      <w:pPr>
        <w:spacing w:line="480" w:lineRule="auto"/>
        <w:jc w:val="center"/>
      </w:pPr>
      <w:r w:rsidRPr="00BF53D1">
        <w:t>Student’s Name</w:t>
      </w:r>
    </w:p>
    <w:p w:rsidR="00BF53D1" w:rsidRPr="00BF53D1" w:rsidRDefault="00BF53D1" w:rsidP="00BF53D1">
      <w:pPr>
        <w:spacing w:line="480" w:lineRule="auto"/>
        <w:jc w:val="center"/>
      </w:pPr>
      <w:r w:rsidRPr="00BF53D1">
        <w:t>Institution of Affiliation</w:t>
      </w:r>
    </w:p>
    <w:p w:rsidR="00BF53D1" w:rsidRPr="00BF53D1" w:rsidRDefault="00BF53D1" w:rsidP="00BF53D1">
      <w:pPr>
        <w:spacing w:line="480" w:lineRule="auto"/>
        <w:jc w:val="center"/>
      </w:pPr>
      <w:r w:rsidRPr="00BF53D1">
        <w:t>Professor</w:t>
      </w:r>
    </w:p>
    <w:p w:rsidR="00BF53D1" w:rsidRPr="00BF53D1" w:rsidRDefault="00BF53D1" w:rsidP="00BF53D1">
      <w:pPr>
        <w:spacing w:line="480" w:lineRule="auto"/>
        <w:jc w:val="center"/>
      </w:pPr>
      <w:r w:rsidRPr="00BF53D1">
        <w:t>Date</w:t>
      </w:r>
    </w:p>
    <w:p w:rsidR="00BF53D1" w:rsidRDefault="00BF53D1">
      <w:r>
        <w:br w:type="page"/>
      </w:r>
    </w:p>
    <w:p w:rsidR="00BF53D1" w:rsidRPr="009E5099" w:rsidRDefault="00BF53D1" w:rsidP="009E5099">
      <w:pPr>
        <w:spacing w:line="480" w:lineRule="auto"/>
        <w:jc w:val="center"/>
        <w:rPr>
          <w:b/>
        </w:rPr>
      </w:pPr>
      <w:r w:rsidRPr="009E5099">
        <w:rPr>
          <w:b/>
        </w:rPr>
        <w:lastRenderedPageBreak/>
        <w:t>Nursing Paper: Colon Cancer</w:t>
      </w:r>
    </w:p>
    <w:p w:rsidR="00BF53D1" w:rsidRPr="00BF53D1" w:rsidRDefault="00927DAF" w:rsidP="00BF53D1">
      <w:pPr>
        <w:spacing w:line="480" w:lineRule="auto"/>
        <w:ind w:firstLine="720"/>
      </w:pPr>
      <w:r w:rsidRPr="00BF53D1">
        <w:t>Colon cancer</w:t>
      </w:r>
      <w:r w:rsidR="001A7B24" w:rsidRPr="00BF53D1">
        <w:t>, also referred to as colorectal cancer, is the second leading cause of cancer deaths in the United States after lung cancer (</w:t>
      </w:r>
      <w:proofErr w:type="spellStart"/>
      <w:r w:rsidR="005276D3" w:rsidRPr="00BF53D1">
        <w:t>Kuipers</w:t>
      </w:r>
      <w:proofErr w:type="spellEnd"/>
      <w:r w:rsidR="005276D3" w:rsidRPr="00BF53D1">
        <w:t xml:space="preserve"> et al., 2015</w:t>
      </w:r>
      <w:r w:rsidR="001A7B24" w:rsidRPr="00BF53D1">
        <w:t>). Its incidence and mortality rates are higher among the African American populations with peak incidence around the six to seventh decade of life (</w:t>
      </w:r>
      <w:proofErr w:type="spellStart"/>
      <w:r w:rsidR="005276D3" w:rsidRPr="00BF53D1">
        <w:t>Kuipers</w:t>
      </w:r>
      <w:proofErr w:type="spellEnd"/>
      <w:r w:rsidR="005276D3" w:rsidRPr="00BF53D1">
        <w:t xml:space="preserve"> et al., 2015</w:t>
      </w:r>
      <w:r w:rsidR="001A7B24" w:rsidRPr="00BF53D1">
        <w:t xml:space="preserve">). It develops following the accumulation of multiple genetic mutations affecting two distinct pathways: the APC/Beta-catenin pathway, implicated in 80% of colorectal carcinomas, and the DNA </w:t>
      </w:r>
      <w:proofErr w:type="spellStart"/>
      <w:r w:rsidR="001A7B24" w:rsidRPr="00BF53D1">
        <w:t>Mis</w:t>
      </w:r>
      <w:proofErr w:type="spellEnd"/>
      <w:r w:rsidR="001A7B24" w:rsidRPr="00BF53D1">
        <w:t>-Match Repair (MMR) pathway</w:t>
      </w:r>
      <w:r w:rsidR="005276D3" w:rsidRPr="00BF53D1">
        <w:t xml:space="preserve"> (</w:t>
      </w:r>
      <w:proofErr w:type="spellStart"/>
      <w:r w:rsidR="005276D3" w:rsidRPr="00BF53D1">
        <w:t>Kuipers</w:t>
      </w:r>
      <w:proofErr w:type="spellEnd"/>
      <w:r w:rsidR="005276D3" w:rsidRPr="00BF53D1">
        <w:t xml:space="preserve"> et al., 2015)</w:t>
      </w:r>
      <w:r w:rsidR="001A7B24" w:rsidRPr="00BF53D1">
        <w:t>.  These mutations occur following chromosomal instability that results in stepwise accumulation of mutations in a series of oncogenes and tumor suppressor genes. These net effects of these mutation is a localized colon epithelial proliferation that id followed by the formation of small adenomas, which becomes more dysplastic, and ultimately develop into invasive cancers (</w:t>
      </w:r>
      <w:proofErr w:type="spellStart"/>
      <w:r w:rsidR="005276D3" w:rsidRPr="00BF53D1">
        <w:t>Kuipers</w:t>
      </w:r>
      <w:proofErr w:type="spellEnd"/>
      <w:r w:rsidR="005276D3" w:rsidRPr="00BF53D1">
        <w:t xml:space="preserve"> et al., 2015</w:t>
      </w:r>
      <w:r w:rsidR="001A7B24" w:rsidRPr="00BF53D1">
        <w:t>). The sign and symptoms of this cancer include</w:t>
      </w:r>
      <w:r w:rsidR="00E6377C" w:rsidRPr="00BF53D1">
        <w:t xml:space="preserve"> weakness, malaise, </w:t>
      </w:r>
      <w:r w:rsidR="00ED578A" w:rsidRPr="00BF53D1">
        <w:t xml:space="preserve">unexplained weight loss, iron-deficiency </w:t>
      </w:r>
      <w:r w:rsidR="00E6377C" w:rsidRPr="00BF53D1">
        <w:t>anemia due to chronic loss of blood from ulcerated lesions</w:t>
      </w:r>
      <w:r w:rsidR="00ED578A" w:rsidRPr="00BF53D1">
        <w:t>, rectal bleeding, abdominal discomfort, change in bowel habits, and in the progressed disease intestinal obstruction or perforation</w:t>
      </w:r>
      <w:r w:rsidR="00E6377C" w:rsidRPr="00BF53D1">
        <w:t xml:space="preserve"> (</w:t>
      </w:r>
      <w:proofErr w:type="spellStart"/>
      <w:r w:rsidR="005276D3" w:rsidRPr="00BF53D1">
        <w:t>Kuipers</w:t>
      </w:r>
      <w:proofErr w:type="spellEnd"/>
      <w:r w:rsidR="005276D3" w:rsidRPr="00BF53D1">
        <w:t xml:space="preserve"> et al., 2015</w:t>
      </w:r>
      <w:r w:rsidR="00E6377C" w:rsidRPr="00BF53D1">
        <w:t xml:space="preserve">). </w:t>
      </w:r>
    </w:p>
    <w:p w:rsidR="00927DAF" w:rsidRPr="00BF53D1" w:rsidRDefault="00E6377C" w:rsidP="00BF53D1">
      <w:pPr>
        <w:spacing w:line="480" w:lineRule="auto"/>
        <w:ind w:firstLine="720"/>
      </w:pPr>
      <w:r w:rsidRPr="00BF53D1">
        <w:t>The diagnostic testing used in the detection and diagnosis of the disease include colonoscopy used to screen for the presence of the tumor including providing details of the exact location and spread of the cancer</w:t>
      </w:r>
      <w:r w:rsidR="00603147" w:rsidRPr="00BF53D1">
        <w:t xml:space="preserve"> (</w:t>
      </w:r>
      <w:proofErr w:type="spellStart"/>
      <w:r w:rsidR="00603147" w:rsidRPr="00BF53D1">
        <w:t>Kuipers</w:t>
      </w:r>
      <w:proofErr w:type="spellEnd"/>
      <w:r w:rsidR="00603147" w:rsidRPr="00BF53D1">
        <w:t xml:space="preserve"> et al., 2015)</w:t>
      </w:r>
      <w:r w:rsidRPr="00BF53D1">
        <w:t>. There is biopsy that is involves obtaining tissue samples for examination under a microscope. It helps in making a definitive diagnosis of colorectal cancer in addition to helping in the staging process of the cancer</w:t>
      </w:r>
      <w:r w:rsidR="005276D3" w:rsidRPr="00BF53D1">
        <w:t xml:space="preserve"> (</w:t>
      </w:r>
      <w:proofErr w:type="spellStart"/>
      <w:r w:rsidR="005276D3" w:rsidRPr="00BF53D1">
        <w:t>Kuipers</w:t>
      </w:r>
      <w:proofErr w:type="spellEnd"/>
      <w:r w:rsidR="005276D3" w:rsidRPr="00BF53D1">
        <w:t xml:space="preserve"> et al., 2015)</w:t>
      </w:r>
      <w:r w:rsidRPr="00BF53D1">
        <w:t xml:space="preserve">. There is molecular testing of the tumor which is done on samples of the tumor used to identify the specific genes, proteins, and other factors that are unique to the specific tumor, their presence of which help to confirm the diagnosis. A complete blood count might be ordered to provide </w:t>
      </w:r>
      <w:r w:rsidRPr="00BF53D1">
        <w:lastRenderedPageBreak/>
        <w:t>insight into the cause of the hematologic picture of the suspected patient who presents with profound anemia</w:t>
      </w:r>
      <w:r w:rsidR="005276D3" w:rsidRPr="00BF53D1">
        <w:t xml:space="preserve"> (</w:t>
      </w:r>
      <w:proofErr w:type="spellStart"/>
      <w:r w:rsidR="005276D3" w:rsidRPr="00BF53D1">
        <w:t>Kuipers</w:t>
      </w:r>
      <w:proofErr w:type="spellEnd"/>
      <w:r w:rsidR="005276D3" w:rsidRPr="00BF53D1">
        <w:t xml:space="preserve"> et al., 2015)</w:t>
      </w:r>
      <w:r w:rsidRPr="00BF53D1">
        <w:t xml:space="preserve">. </w:t>
      </w:r>
    </w:p>
    <w:p w:rsidR="003969F4" w:rsidRPr="00BF53D1" w:rsidRDefault="00927DAF" w:rsidP="00BF53D1">
      <w:pPr>
        <w:spacing w:line="480" w:lineRule="auto"/>
        <w:ind w:firstLine="720"/>
      </w:pPr>
      <w:r w:rsidRPr="00BF53D1">
        <w:t xml:space="preserve">The relationship between the </w:t>
      </w:r>
      <w:proofErr w:type="gramStart"/>
      <w:r w:rsidRPr="00BF53D1">
        <w:t>disease</w:t>
      </w:r>
      <w:proofErr w:type="gramEnd"/>
      <w:r w:rsidRPr="00BF53D1">
        <w:t xml:space="preserve"> processes occurring in the setting of colon cancer is such that the developing tumor elicits a strong T cell mediated immune response. The  T cell produced are the CD3-, CD8+ effector T cells that are seen as being concentrated in the tumor center and along the invasion margins of the tumor (Angell et al., 2020). The amount of these effector T cells that can actually be counted in the tumor center and along the invasion margin are used in the generation of an Immuno-score that is used in further classification of the stage of the tumor along the TNM staging system that is centered on three key characteristics of the tumo0r including the extent of the primary tumor (T), the involvement of regional lymph nodes (N), and the presence of distant metastases (M) (Angell et al., 2020). </w:t>
      </w:r>
    </w:p>
    <w:p w:rsidR="00ED578A" w:rsidRPr="00BF53D1" w:rsidRDefault="00ED578A" w:rsidP="00BF53D1">
      <w:pPr>
        <w:spacing w:line="480" w:lineRule="auto"/>
        <w:ind w:firstLine="720"/>
      </w:pPr>
      <w:r w:rsidRPr="00BF53D1">
        <w:t xml:space="preserve">The current evidence-based treatment </w:t>
      </w:r>
      <w:r w:rsidR="009E7E4F" w:rsidRPr="00BF53D1">
        <w:t>modalities for colon cancer include</w:t>
      </w:r>
      <w:r w:rsidRPr="00BF53D1">
        <w:t xml:space="preserve"> </w:t>
      </w:r>
      <w:r w:rsidR="009E7E4F" w:rsidRPr="00BF53D1">
        <w:t>surgery as the mainstream treatment option for the disease. The surgical technique employed can include the minimal invasive laparoscopic surgery or the traditional laparotomy which most often includes rectal cancer resection, ileostomy and or colostomy (</w:t>
      </w:r>
      <w:r w:rsidR="009E5099">
        <w:t xml:space="preserve">Zhang et al., </w:t>
      </w:r>
      <w:r w:rsidR="005276D3" w:rsidRPr="00BF53D1">
        <w:t>2016</w:t>
      </w:r>
      <w:r w:rsidR="009E7E4F" w:rsidRPr="00BF53D1">
        <w:t>). With regards to the surgical technique, laparoscopic rectal cancer radical resection is preferred to open surgery as it is considered more advantageous despi</w:t>
      </w:r>
      <w:r w:rsidR="00BF53D1" w:rsidRPr="00BF53D1">
        <w:t xml:space="preserve">te being highly time-consuming </w:t>
      </w:r>
      <w:r w:rsidR="009E7E4F" w:rsidRPr="00BF53D1">
        <w:t>and associated with high medical costs (</w:t>
      </w:r>
      <w:r w:rsidR="009E5099">
        <w:t xml:space="preserve">Zhang et al., </w:t>
      </w:r>
      <w:r w:rsidR="005276D3" w:rsidRPr="00BF53D1">
        <w:t>2016</w:t>
      </w:r>
      <w:r w:rsidR="009E7E4F" w:rsidRPr="00BF53D1">
        <w:t xml:space="preserve">). Chemotherapy is also employed for the patients pre- and post-operatively. These treatment modalities have the ability to induce complete remission from the disease however relapses following surgery are very common. Post-operative chemotherapy is used to prevent the occurrences of such disease </w:t>
      </w:r>
      <w:r w:rsidR="00025E51" w:rsidRPr="00BF53D1">
        <w:t>relapses after surgical interventions.</w:t>
      </w:r>
    </w:p>
    <w:p w:rsidR="00BF53D1" w:rsidRPr="00BF53D1" w:rsidRDefault="00025E51" w:rsidP="00BF53D1">
      <w:pPr>
        <w:spacing w:line="480" w:lineRule="auto"/>
        <w:ind w:firstLine="720"/>
      </w:pPr>
      <w:r w:rsidRPr="00BF53D1">
        <w:lastRenderedPageBreak/>
        <w:t>The information in this case informs the practice of a master prepared nurse by way of enriching their knowledge base concerning nursing management of patients with this type of cancer. It helps to direct their practice so that it becomes highly specialized and based on best evidence-based practice. In designing a patient education section for someone with this condition, the masters prepared nurse could employ the information from this case in identifying the key points and take away messages that they would like the patient to acquire by the end of the session</w:t>
      </w:r>
      <w:r w:rsidR="009E5099">
        <w:t xml:space="preserve"> (</w:t>
      </w:r>
      <w:r w:rsidR="009E5099" w:rsidRPr="00BF53D1">
        <w:t>O’Brien</w:t>
      </w:r>
      <w:r w:rsidR="009E5099">
        <w:t xml:space="preserve"> et al., 2006)</w:t>
      </w:r>
      <w:bookmarkStart w:id="0" w:name="_GoBack"/>
      <w:bookmarkEnd w:id="0"/>
      <w:r w:rsidRPr="00BF53D1">
        <w:t xml:space="preserve">. This information could also come in handy in helping the masters prepared nurse create a compelling argument as to the type of intervention strategies that the patient could considered and what their advantages are or in convincing the patient why it is important to adhere to the doctor’s homecare directions. The most important information presented in the case is the rationale of each diagnostic testing that is employed in the diagnosis of this disease. This is because making the right diagnosis and early enough in the developmental phases of the disease can substantially improve their prognosis. </w:t>
      </w:r>
    </w:p>
    <w:p w:rsidR="00025E51" w:rsidRPr="00BF53D1" w:rsidRDefault="0018568F" w:rsidP="00BF53D1">
      <w:pPr>
        <w:spacing w:line="480" w:lineRule="auto"/>
        <w:ind w:firstLine="720"/>
      </w:pPr>
      <w:r w:rsidRPr="00BF53D1">
        <w:t>The most challenging information presented in this case includes the description or lack thereof of the surgical techniques that are implicated in the evidence-based treatment modalities for this disease. The techniques prompted further research to understand what exactly they are referring to. Lastly, the patient safety issues that must be addressed for patients with this condition include the occurrence of delay of care for these patients which is mostly augmented by accompanying insurance issues especially for the uninsured and those who are under-insured (</w:t>
      </w:r>
      <w:r w:rsidR="009E5099">
        <w:t xml:space="preserve">Shah et al., </w:t>
      </w:r>
      <w:r w:rsidR="005276D3" w:rsidRPr="00BF53D1">
        <w:t>2012</w:t>
      </w:r>
      <w:r w:rsidRPr="00BF53D1">
        <w:t>). This is especially a significant issue as it leads to higher stages of the disease at diagnosis which coupled with the delayed care signific</w:t>
      </w:r>
      <w:r w:rsidR="005276D3" w:rsidRPr="00BF53D1">
        <w:t xml:space="preserve">antly affects the patient’s outcomes as most patients who fall victim to this safety issue end up presenting or being diagnosed at stage 4 of the disease that is problematic to treat. In addition, the dosing levels and intervals of the </w:t>
      </w:r>
      <w:r w:rsidR="005276D3" w:rsidRPr="00BF53D1">
        <w:lastRenderedPageBreak/>
        <w:t xml:space="preserve">chemotherapeutic agents need to be tightly controlled as they are equally carcinogenic which when administered  in chronically higher than the required doses and frequency often lead to the development of cancers in other parts of the body with increased mortality rates (O’Brien et al., 2006).  </w:t>
      </w:r>
      <w:r w:rsidRPr="00BF53D1">
        <w:t xml:space="preserve"> </w:t>
      </w:r>
    </w:p>
    <w:p w:rsidR="00BF53D1" w:rsidRDefault="00BF53D1">
      <w:r>
        <w:br w:type="page"/>
      </w:r>
    </w:p>
    <w:p w:rsidR="00603147" w:rsidRPr="009E5099" w:rsidRDefault="00603147" w:rsidP="00BF53D1">
      <w:pPr>
        <w:spacing w:line="480" w:lineRule="auto"/>
        <w:jc w:val="center"/>
        <w:rPr>
          <w:b/>
        </w:rPr>
      </w:pPr>
      <w:r w:rsidRPr="009E5099">
        <w:rPr>
          <w:b/>
        </w:rPr>
        <w:lastRenderedPageBreak/>
        <w:t>References</w:t>
      </w:r>
    </w:p>
    <w:p w:rsidR="001F1E60" w:rsidRPr="00BF53D1" w:rsidRDefault="001F1E60" w:rsidP="00BF53D1">
      <w:pPr>
        <w:spacing w:line="480" w:lineRule="auto"/>
        <w:ind w:left="720" w:hanging="720"/>
      </w:pPr>
      <w:proofErr w:type="gramStart"/>
      <w:r w:rsidRPr="00BF53D1">
        <w:t xml:space="preserve">Angell, K. H., </w:t>
      </w:r>
      <w:proofErr w:type="spellStart"/>
      <w:r w:rsidRPr="00BF53D1">
        <w:t>Bruni</w:t>
      </w:r>
      <w:proofErr w:type="spellEnd"/>
      <w:r w:rsidRPr="00BF53D1">
        <w:t xml:space="preserve">, D., Barrett, C. J., </w:t>
      </w:r>
      <w:proofErr w:type="spellStart"/>
      <w:r w:rsidRPr="00BF53D1">
        <w:t>Herbst</w:t>
      </w:r>
      <w:proofErr w:type="spellEnd"/>
      <w:r w:rsidRPr="00BF53D1">
        <w:t xml:space="preserve">, R., &amp; </w:t>
      </w:r>
      <w:proofErr w:type="spellStart"/>
      <w:r w:rsidRPr="00BF53D1">
        <w:t>Galon</w:t>
      </w:r>
      <w:proofErr w:type="spellEnd"/>
      <w:r w:rsidRPr="00BF53D1">
        <w:t>, J. (2020).</w:t>
      </w:r>
      <w:proofErr w:type="gramEnd"/>
      <w:r w:rsidRPr="00BF53D1">
        <w:t xml:space="preserve"> The </w:t>
      </w:r>
      <w:proofErr w:type="spellStart"/>
      <w:r w:rsidRPr="00BF53D1">
        <w:t>Immunoscore</w:t>
      </w:r>
      <w:proofErr w:type="spellEnd"/>
      <w:r w:rsidRPr="00BF53D1">
        <w:t xml:space="preserve">: Colon Cancer and Beyond. </w:t>
      </w:r>
      <w:r w:rsidRPr="00BF53D1">
        <w:rPr>
          <w:i/>
        </w:rPr>
        <w:t>Clinical Cancer Research</w:t>
      </w:r>
      <w:r w:rsidRPr="00BF53D1">
        <w:t>, 26(2)</w:t>
      </w:r>
    </w:p>
    <w:p w:rsidR="00603147" w:rsidRPr="00BF53D1" w:rsidRDefault="00603147" w:rsidP="00BF53D1">
      <w:pPr>
        <w:spacing w:line="480" w:lineRule="auto"/>
        <w:ind w:left="720" w:hanging="720"/>
      </w:pPr>
      <w:proofErr w:type="spellStart"/>
      <w:r w:rsidRPr="00BF53D1">
        <w:t>Kuipers</w:t>
      </w:r>
      <w:proofErr w:type="spellEnd"/>
      <w:r w:rsidRPr="00BF53D1">
        <w:t xml:space="preserve">, J. E., Grady, M. W., Lieberman, D., </w:t>
      </w:r>
      <w:proofErr w:type="spellStart"/>
      <w:r w:rsidRPr="00BF53D1">
        <w:t>Seufferlein</w:t>
      </w:r>
      <w:proofErr w:type="spellEnd"/>
      <w:r w:rsidRPr="00BF53D1">
        <w:t xml:space="preserve">, T., Sung, J. J., </w:t>
      </w:r>
      <w:proofErr w:type="spellStart"/>
      <w:r w:rsidRPr="00BF53D1">
        <w:t>Boelens</w:t>
      </w:r>
      <w:proofErr w:type="spellEnd"/>
      <w:r w:rsidRPr="00BF53D1">
        <w:t xml:space="preserve">, G. P., </w:t>
      </w:r>
      <w:proofErr w:type="spellStart"/>
      <w:r w:rsidRPr="00BF53D1">
        <w:t>Velde</w:t>
      </w:r>
      <w:proofErr w:type="spellEnd"/>
      <w:r w:rsidRPr="00BF53D1">
        <w:t xml:space="preserve">, C. H., &amp; Watanabe, T. (2015). </w:t>
      </w:r>
      <w:proofErr w:type="gramStart"/>
      <w:r w:rsidRPr="00BF53D1">
        <w:t>Colorectal Cancer.</w:t>
      </w:r>
      <w:proofErr w:type="gramEnd"/>
      <w:r w:rsidRPr="00BF53D1">
        <w:t xml:space="preserve"> </w:t>
      </w:r>
      <w:r w:rsidRPr="00BF53D1">
        <w:rPr>
          <w:i/>
        </w:rPr>
        <w:t>Nat Rev Dis Primers</w:t>
      </w:r>
      <w:r w:rsidRPr="00BF53D1">
        <w:t>, 1: 15065</w:t>
      </w:r>
    </w:p>
    <w:p w:rsidR="001F1E60" w:rsidRPr="00BF53D1" w:rsidRDefault="001F1E60" w:rsidP="00BF53D1">
      <w:pPr>
        <w:spacing w:line="480" w:lineRule="auto"/>
        <w:ind w:left="720" w:hanging="720"/>
      </w:pPr>
      <w:r w:rsidRPr="00BF53D1">
        <w:t xml:space="preserve">O’Brien, R. E. M., </w:t>
      </w:r>
      <w:proofErr w:type="spellStart"/>
      <w:r w:rsidRPr="00BF53D1">
        <w:t>Borthwick</w:t>
      </w:r>
      <w:proofErr w:type="spellEnd"/>
      <w:r w:rsidRPr="00BF53D1">
        <w:t xml:space="preserve">, A., </w:t>
      </w:r>
      <w:proofErr w:type="spellStart"/>
      <w:r w:rsidRPr="00BF53D1">
        <w:t>Rigg</w:t>
      </w:r>
      <w:proofErr w:type="spellEnd"/>
      <w:r w:rsidRPr="00BF53D1">
        <w:t xml:space="preserve">, A., Leary, A., </w:t>
      </w:r>
      <w:proofErr w:type="spellStart"/>
      <w:r w:rsidRPr="00BF53D1">
        <w:t>Assersohn</w:t>
      </w:r>
      <w:proofErr w:type="spellEnd"/>
      <w:r w:rsidRPr="00BF53D1">
        <w:t>, L., Last, K., Ta</w:t>
      </w:r>
      <w:r w:rsidR="005C594C">
        <w:t>n, S., Milan, S., Tait, D., &amp; S</w:t>
      </w:r>
      <w:r w:rsidRPr="00BF53D1">
        <w:t xml:space="preserve">mith, I. E. (2006). Mortality within 30 Days of Chemotherapy: A Clinical Governance Benchmarking Issue for Oncology Patients. </w:t>
      </w:r>
      <w:r w:rsidRPr="00BF53D1">
        <w:rPr>
          <w:i/>
        </w:rPr>
        <w:t>Br J Cancer</w:t>
      </w:r>
      <w:r w:rsidRPr="00BF53D1">
        <w:t>, 95(12): 1632-1636</w:t>
      </w:r>
    </w:p>
    <w:p w:rsidR="001F1E60" w:rsidRPr="00BF53D1" w:rsidRDefault="00BF53D1" w:rsidP="00BF53D1">
      <w:pPr>
        <w:spacing w:line="480" w:lineRule="auto"/>
        <w:ind w:left="720" w:hanging="720"/>
      </w:pPr>
      <w:proofErr w:type="gramStart"/>
      <w:r w:rsidRPr="00BF53D1">
        <w:t xml:space="preserve">Shah, P. J., Valdes, M., &amp; </w:t>
      </w:r>
      <w:proofErr w:type="spellStart"/>
      <w:r w:rsidRPr="00BF53D1">
        <w:t>Ro</w:t>
      </w:r>
      <w:r w:rsidR="001F1E60" w:rsidRPr="00BF53D1">
        <w:t>ckey</w:t>
      </w:r>
      <w:proofErr w:type="spellEnd"/>
      <w:r w:rsidR="001F1E60" w:rsidRPr="00BF53D1">
        <w:t>, C. D. (2012).</w:t>
      </w:r>
      <w:proofErr w:type="gramEnd"/>
      <w:r w:rsidR="001F1E60" w:rsidRPr="00BF53D1">
        <w:t xml:space="preserve"> Transferred and Delayed Care of Patients with Colorectal Cancer in a Safety-Net Hospital System – Manifestations of a Distressed Healthcare System. </w:t>
      </w:r>
      <w:r w:rsidR="001F1E60" w:rsidRPr="00BF53D1">
        <w:rPr>
          <w:i/>
        </w:rPr>
        <w:t>J Gen Intern Med.</w:t>
      </w:r>
      <w:r w:rsidR="001F1E60" w:rsidRPr="00BF53D1">
        <w:t>, 27(9): 1142-1149</w:t>
      </w:r>
    </w:p>
    <w:p w:rsidR="001F1E60" w:rsidRPr="00BF53D1" w:rsidRDefault="001F1E60" w:rsidP="00BF53D1">
      <w:pPr>
        <w:spacing w:line="480" w:lineRule="auto"/>
        <w:ind w:left="720" w:hanging="720"/>
      </w:pPr>
      <w:proofErr w:type="gramStart"/>
      <w:r w:rsidRPr="00BF53D1">
        <w:t>Zhang, Q., Yang, J., &amp; Qian, Q. (2016).</w:t>
      </w:r>
      <w:proofErr w:type="gramEnd"/>
      <w:r w:rsidRPr="00BF53D1">
        <w:t xml:space="preserve"> </w:t>
      </w:r>
      <w:proofErr w:type="gramStart"/>
      <w:r w:rsidRPr="00BF53D1">
        <w:t xml:space="preserve">Evidence-Based </w:t>
      </w:r>
      <w:proofErr w:type="spellStart"/>
      <w:r w:rsidRPr="00BF53D1">
        <w:t>Treatmnet</w:t>
      </w:r>
      <w:proofErr w:type="spellEnd"/>
      <w:r w:rsidRPr="00BF53D1">
        <w:t xml:space="preserve"> of Patients with Rectal Cancer.</w:t>
      </w:r>
      <w:proofErr w:type="gramEnd"/>
      <w:r w:rsidRPr="00BF53D1">
        <w:t xml:space="preserve"> </w:t>
      </w:r>
      <w:proofErr w:type="spellStart"/>
      <w:r w:rsidRPr="00BF53D1">
        <w:rPr>
          <w:i/>
        </w:rPr>
        <w:t>Oncol</w:t>
      </w:r>
      <w:proofErr w:type="spellEnd"/>
      <w:r w:rsidRPr="00BF53D1">
        <w:rPr>
          <w:i/>
        </w:rPr>
        <w:t xml:space="preserve"> Lett.</w:t>
      </w:r>
      <w:r w:rsidRPr="00BF53D1">
        <w:t>, 11(3): 1631-1634</w:t>
      </w:r>
    </w:p>
    <w:sectPr w:rsidR="001F1E60" w:rsidRPr="00BF53D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886" w:rsidRDefault="003C5886" w:rsidP="00BF53D1">
      <w:pPr>
        <w:spacing w:after="0" w:line="240" w:lineRule="auto"/>
      </w:pPr>
      <w:r>
        <w:separator/>
      </w:r>
    </w:p>
  </w:endnote>
  <w:endnote w:type="continuationSeparator" w:id="0">
    <w:p w:rsidR="003C5886" w:rsidRDefault="003C5886" w:rsidP="00BF5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886" w:rsidRDefault="003C5886" w:rsidP="00BF53D1">
      <w:pPr>
        <w:spacing w:after="0" w:line="240" w:lineRule="auto"/>
      </w:pPr>
      <w:r>
        <w:separator/>
      </w:r>
    </w:p>
  </w:footnote>
  <w:footnote w:type="continuationSeparator" w:id="0">
    <w:p w:rsidR="003C5886" w:rsidRDefault="003C5886" w:rsidP="00BF53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909641"/>
      <w:docPartObj>
        <w:docPartGallery w:val="Page Numbers (Top of Page)"/>
        <w:docPartUnique/>
      </w:docPartObj>
    </w:sdtPr>
    <w:sdtEndPr>
      <w:rPr>
        <w:noProof/>
      </w:rPr>
    </w:sdtEndPr>
    <w:sdtContent>
      <w:p w:rsidR="00BF53D1" w:rsidRDefault="00BF53D1">
        <w:pPr>
          <w:pStyle w:val="Header"/>
          <w:jc w:val="right"/>
        </w:pPr>
        <w:r>
          <w:fldChar w:fldCharType="begin"/>
        </w:r>
        <w:r>
          <w:instrText xml:space="preserve"> PAGE   \* MERGEFORMAT </w:instrText>
        </w:r>
        <w:r>
          <w:fldChar w:fldCharType="separate"/>
        </w:r>
        <w:r w:rsidR="009E5099">
          <w:rPr>
            <w:noProof/>
          </w:rPr>
          <w:t>6</w:t>
        </w:r>
        <w:r>
          <w:rPr>
            <w:noProof/>
          </w:rPr>
          <w:fldChar w:fldCharType="end"/>
        </w:r>
      </w:p>
    </w:sdtContent>
  </w:sdt>
  <w:p w:rsidR="00BF53D1" w:rsidRDefault="00BF53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B1F"/>
    <w:rsid w:val="00025E51"/>
    <w:rsid w:val="0018568F"/>
    <w:rsid w:val="001A7B24"/>
    <w:rsid w:val="001F1E60"/>
    <w:rsid w:val="003969F4"/>
    <w:rsid w:val="003C5886"/>
    <w:rsid w:val="005276D3"/>
    <w:rsid w:val="005C594C"/>
    <w:rsid w:val="00603147"/>
    <w:rsid w:val="00927DAF"/>
    <w:rsid w:val="009D1DF4"/>
    <w:rsid w:val="009E5099"/>
    <w:rsid w:val="009E7E4F"/>
    <w:rsid w:val="00BF53D1"/>
    <w:rsid w:val="00E6377C"/>
    <w:rsid w:val="00ED578A"/>
    <w:rsid w:val="00FA2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3D1"/>
  </w:style>
  <w:style w:type="paragraph" w:styleId="Footer">
    <w:name w:val="footer"/>
    <w:basedOn w:val="Normal"/>
    <w:link w:val="FooterChar"/>
    <w:uiPriority w:val="99"/>
    <w:unhideWhenUsed/>
    <w:rsid w:val="00BF5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3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53D1"/>
  </w:style>
  <w:style w:type="paragraph" w:styleId="Footer">
    <w:name w:val="footer"/>
    <w:basedOn w:val="Normal"/>
    <w:link w:val="FooterChar"/>
    <w:uiPriority w:val="99"/>
    <w:unhideWhenUsed/>
    <w:rsid w:val="00BF5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5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6</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2020-05-23T21:11:00Z</dcterms:created>
  <dcterms:modified xsi:type="dcterms:W3CDTF">2020-05-24T06:28:00Z</dcterms:modified>
</cp:coreProperties>
</file>